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eastAsia="zh-CN"/>
        </w:rPr>
        <w:t>城市管理综合行政执法局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20</w:t>
      </w:r>
      <w:r>
        <w:rPr>
          <w:rFonts w:hint="eastAsia" w:ascii="方正小标宋简体" w:hAnsi="Times New Roman" w:eastAsia="方正小标宋简体" w:cs="Times New Roman"/>
          <w:sz w:val="44"/>
          <w:szCs w:val="44"/>
        </w:rPr>
        <w:t>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按照《预算法》、《地方预决算公开操作规程》和《河北省省级预算公开办法》规定，现将霸州市</w:t>
      </w:r>
      <w:r>
        <w:rPr>
          <w:rFonts w:hint="eastAsia" w:ascii="仿宋_GB2312" w:hAnsi="Times New Roman" w:eastAsia="仿宋_GB2312" w:cs="Times New Roman"/>
          <w:sz w:val="32"/>
          <w:szCs w:val="32"/>
          <w:lang w:eastAsia="zh-CN"/>
        </w:rPr>
        <w:t>城市管理综合行政执法局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贯彻落实国家和省、市关于城市管理综合行政执法工作的法律、法规、规章及相关政策；拟定全市城市管理综合行政执法相关政策、制度和发展规划并组织实施；统筹全市城市管理综合行政执法的改革与发展。</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（二）行使市容环境卫生管理方面法律、法规、规章规定的全部行政处罚权；履行市容环境卫生管理方面法律、法规、规章规定的有关职责。</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（三）行使城乡规划管理方面法律、法规、规章规定的全部行政处罚权。</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（四）行使城市绿化管理方面法律、法规、规章规定的全部行政处罚权。</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（五）行使市场监督管理方面法律、法规、规章规定的对户外公共场所无照经营行为的行政处罚权。</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（六）行使公安交通管理方面法律、法规、规章规定的对侵占城市道路人行道、公共场地等行为的行政处罚权。</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（七）行使市政、公用设施管理方面法律、法规、规章规定的全部行政处罚权。行使临时占用道路审批管理权并依法收取占用费。 </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(八) 负责编制城区户外广告、招牌设置规划和技术规范；负责城区户外广告和张贴张挂宣传品的审批、监督和管理工作。</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（九）负责受理上级批转的信访案件和群众举报案件及办理人大、政协建议、提案工作。</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（十）负责对各乡、镇（区办）城市管理综合行政执法工作的业务指导、检查、督导、协调等工作。</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（十一）负责干部职工思想政治教育及业务培训工作，局内党（团）员的发展、教育、管理工作，工青妇及安全保卫工作。</w:t>
      </w:r>
    </w:p>
    <w:p>
      <w:pPr>
        <w:ind w:firstLine="640"/>
        <w:rPr>
          <w:rFonts w:hint="eastAsia"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（十二）履行法律、法规、规章或者省、市人民政府规定的其他职责。</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方正仿宋_GBK" w:eastAsia="方正仿宋_GBK" w:cs="Times New Roman" w:hAnsiTheme="majorEastAsia"/>
                <w:kern w:val="2"/>
                <w:sz w:val="21"/>
                <w:szCs w:val="24"/>
                <w:lang w:val="en-US" w:eastAsia="zh-CN" w:bidi="ar-SA"/>
              </w:rPr>
            </w:pPr>
            <w:r>
              <w:rPr>
                <w:rFonts w:hint="eastAsia" w:ascii="方正仿宋_GBK" w:eastAsia="方正仿宋_GBK" w:hAnsiTheme="majorEastAsia"/>
              </w:rPr>
              <w:t>霸州市城市管理</w:t>
            </w:r>
            <w:r>
              <w:rPr>
                <w:rFonts w:hint="eastAsia" w:ascii="方正仿宋_GBK" w:eastAsia="方正仿宋_GBK" w:hAnsiTheme="majorEastAsia"/>
                <w:lang w:eastAsia="zh-CN"/>
              </w:rPr>
              <w:t>综合</w:t>
            </w:r>
            <w:r>
              <w:rPr>
                <w:rFonts w:hint="eastAsia" w:ascii="方正仿宋_GBK" w:eastAsia="方正仿宋_GBK" w:hAnsiTheme="majorEastAsia"/>
              </w:rPr>
              <w:t>行政执法局</w:t>
            </w:r>
          </w:p>
        </w:tc>
        <w:tc>
          <w:tcPr>
            <w:tcW w:w="1866" w:type="dxa"/>
            <w:shd w:val="clear" w:color="auto" w:fill="auto"/>
            <w:vAlign w:val="center"/>
          </w:tcPr>
          <w:p>
            <w:pPr>
              <w:spacing w:line="300" w:lineRule="exact"/>
              <w:jc w:val="center"/>
              <w:rPr>
                <w:rFonts w:ascii="方正仿宋_GBK" w:eastAsia="方正仿宋_GBK" w:cs="Times New Roman" w:hAnsiTheme="majorEastAsia"/>
                <w:kern w:val="2"/>
                <w:sz w:val="21"/>
                <w:szCs w:val="24"/>
                <w:lang w:val="en-US" w:eastAsia="zh-CN" w:bidi="ar-SA"/>
              </w:rPr>
            </w:pPr>
            <w:r>
              <w:rPr>
                <w:rFonts w:hint="eastAsia" w:ascii="方正仿宋_GBK" w:eastAsia="方正仿宋_GBK" w:cs="Times New Roman" w:hAnsiTheme="majorEastAsia"/>
                <w:szCs w:val="24"/>
              </w:rPr>
              <w:t>行政</w:t>
            </w:r>
          </w:p>
        </w:tc>
        <w:tc>
          <w:tcPr>
            <w:tcW w:w="1536" w:type="dxa"/>
            <w:shd w:val="clear" w:color="auto" w:fill="auto"/>
            <w:vAlign w:val="center"/>
          </w:tcPr>
          <w:p>
            <w:pPr>
              <w:spacing w:line="300" w:lineRule="exact"/>
              <w:jc w:val="center"/>
              <w:rPr>
                <w:rFonts w:ascii="方正仿宋_GBK" w:eastAsia="方正仿宋_GBK" w:cs="Times New Roman" w:hAnsiTheme="majorEastAsia"/>
                <w:kern w:val="2"/>
                <w:sz w:val="21"/>
                <w:szCs w:val="24"/>
                <w:lang w:val="en-US" w:eastAsia="zh-CN" w:bidi="ar-SA"/>
              </w:rPr>
            </w:pPr>
            <w:r>
              <w:rPr>
                <w:rFonts w:hint="eastAsia" w:ascii="方正仿宋_GBK" w:eastAsia="方正仿宋_GBK" w:cs="Times New Roman" w:hAnsiTheme="majorEastAsia"/>
                <w:szCs w:val="24"/>
              </w:rPr>
              <w:t>正科级</w:t>
            </w:r>
          </w:p>
        </w:tc>
        <w:tc>
          <w:tcPr>
            <w:tcW w:w="2642" w:type="dxa"/>
            <w:shd w:val="clear" w:color="auto" w:fill="auto"/>
            <w:vAlign w:val="center"/>
          </w:tcPr>
          <w:p>
            <w:pPr>
              <w:spacing w:line="300" w:lineRule="exact"/>
              <w:jc w:val="center"/>
              <w:rPr>
                <w:rFonts w:ascii="方正仿宋_GBK" w:eastAsia="方正仿宋_GBK" w:cs="Times New Roman" w:hAnsiTheme="majorEastAsia"/>
                <w:kern w:val="2"/>
                <w:sz w:val="21"/>
                <w:szCs w:val="24"/>
                <w:lang w:val="en-US" w:eastAsia="zh-CN" w:bidi="ar-SA"/>
              </w:rPr>
            </w:pPr>
            <w:r>
              <w:rPr>
                <w:rFonts w:hint="eastAsia" w:ascii="方正仿宋_GBK" w:eastAsia="方正仿宋_GBK" w:hAnsiTheme="major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p>
        </w:tc>
      </w:tr>
    </w:tbl>
    <w:p>
      <w:pPr>
        <w:spacing w:line="560" w:lineRule="exact"/>
        <w:ind w:firstLine="640" w:firstLineChars="200"/>
        <w:rPr>
          <w:rFonts w:ascii="仿宋" w:hAnsi="仿宋" w:eastAsia="仿宋"/>
          <w:b/>
          <w:color w:val="FF0000"/>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4265.85</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4265.85</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eastAsia="zh-CN"/>
        </w:rPr>
        <w:t>城市管理综合行政执法局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年度部门预算中支出预算的总体情况。20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年本部门支出预算</w:t>
      </w:r>
      <w:r>
        <w:rPr>
          <w:rFonts w:hint="eastAsia" w:ascii="仿宋_GB2312" w:hAnsi="Times New Roman" w:eastAsia="仿宋_GB2312" w:cs="Times New Roman"/>
          <w:sz w:val="32"/>
          <w:szCs w:val="32"/>
          <w:lang w:val="en-US" w:eastAsia="zh-CN"/>
        </w:rPr>
        <w:t>4265.85</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3928.05</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3606.41</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321.64</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337.8</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主要为拆除违章建筑及广告牌匾工作经费</w:t>
      </w:r>
      <w:r>
        <w:rPr>
          <w:rFonts w:hint="eastAsia" w:ascii="仿宋_GB2312" w:hAnsi="Times New Roman" w:eastAsia="仿宋_GB2312" w:cs="Times New Roman"/>
          <w:sz w:val="32"/>
          <w:szCs w:val="32"/>
          <w:lang w:eastAsia="zh-CN"/>
        </w:rPr>
        <w:t>、执法停车保管费用、冯庄土地租赁经费</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hint="eastAsia" w:ascii="楷体_GB2312" w:hAnsi="Times New Roman" w:eastAsia="楷体_GB2312" w:cs="Times New Roman"/>
          <w:b/>
          <w:sz w:val="32"/>
          <w:szCs w:val="32"/>
          <w:lang w:eastAsia="zh-CN"/>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20</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4265.85</w:t>
      </w:r>
      <w:r>
        <w:rPr>
          <w:rFonts w:hint="eastAsia" w:ascii="仿宋_GB2312" w:hAnsi="Times New Roman" w:eastAsia="仿宋_GB2312" w:cs="Times New Roman"/>
          <w:color w:val="000000" w:themeColor="text1"/>
          <w:sz w:val="32"/>
          <w:szCs w:val="32"/>
        </w:rPr>
        <w:t>万元，较20</w:t>
      </w:r>
      <w:r>
        <w:rPr>
          <w:rFonts w:ascii="仿宋_GB2312" w:hAnsi="Times New Roman" w:eastAsia="仿宋_GB2312" w:cs="Times New Roman"/>
          <w:color w:val="000000" w:themeColor="text1"/>
          <w:sz w:val="32"/>
          <w:szCs w:val="32"/>
        </w:rPr>
        <w:t>19</w:t>
      </w:r>
      <w:r>
        <w:rPr>
          <w:rFonts w:hint="eastAsia" w:ascii="仿宋_GB2312" w:hAnsi="Times New Roman" w:eastAsia="仿宋_GB2312" w:cs="Times New Roman"/>
          <w:color w:val="000000" w:themeColor="text1"/>
          <w:sz w:val="32"/>
          <w:szCs w:val="32"/>
        </w:rPr>
        <w:t>年预算</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lang w:val="en-US" w:eastAsia="zh-CN"/>
        </w:rPr>
        <w:t>199.12</w:t>
      </w:r>
      <w:r>
        <w:rPr>
          <w:rFonts w:hint="eastAsia" w:ascii="仿宋_GB2312" w:hAnsi="Times New Roman" w:eastAsia="仿宋_GB2312" w:cs="Times New Roman"/>
          <w:color w:val="000000" w:themeColor="text1"/>
          <w:sz w:val="32"/>
          <w:szCs w:val="32"/>
        </w:rPr>
        <w:t>万元，其中：基本支出</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185.12</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lang w:eastAsia="zh-CN"/>
        </w:rPr>
        <w:t>人员经费</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219.58万元，公用经费减少34.46万元</w:t>
      </w:r>
      <w:r>
        <w:rPr>
          <w:rFonts w:hint="eastAsia" w:ascii="仿宋_GB2312" w:hAnsi="Times New Roman" w:eastAsia="仿宋_GB2312" w:cs="Times New Roman"/>
          <w:color w:val="000000" w:themeColor="text1"/>
          <w:sz w:val="32"/>
          <w:szCs w:val="32"/>
        </w:rPr>
        <w:t>；项目支出</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14</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highlight w:val="none"/>
        </w:rPr>
        <w:t>增加兴华北路平安保险公司及周边建筑物外墙粉刷装饰经费</w:t>
      </w:r>
      <w:r>
        <w:rPr>
          <w:rFonts w:hint="eastAsia" w:ascii="仿宋_GB2312" w:hAnsi="Times New Roman" w:eastAsia="仿宋_GB2312" w:cs="Times New Roman"/>
          <w:color w:val="000000" w:themeColor="text1"/>
          <w:sz w:val="32"/>
          <w:szCs w:val="32"/>
          <w:highlight w:val="none"/>
          <w:lang w:eastAsia="zh-CN"/>
        </w:rPr>
        <w:t>项目，减少了胜芳分局办公用房租赁经费</w:t>
      </w:r>
      <w:r>
        <w:rPr>
          <w:rFonts w:hint="eastAsia" w:ascii="仿宋_GB2312" w:hAnsi="Times New Roman" w:eastAsia="仿宋_GB2312" w:cs="Times New Roman"/>
          <w:color w:val="000000" w:themeColor="text1"/>
          <w:sz w:val="32"/>
          <w:szCs w:val="32"/>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321.64</w:t>
      </w:r>
      <w:r>
        <w:rPr>
          <w:rFonts w:hint="eastAsia" w:ascii="仿宋_GB2312" w:hAnsi="Times New Roman" w:eastAsia="仿宋_GB2312" w:cs="Times New Roman"/>
          <w:sz w:val="32"/>
          <w:szCs w:val="32"/>
        </w:rPr>
        <w:t>万元，主要用于办公区的日常维修、办公用房水电费、办公用房取暖费、办公及印刷费，邮电费、差旅费、福利费、办公用房物业管理费、公务用车运行维护费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公务接待费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培训费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租赁费</w:t>
      </w:r>
      <w:r>
        <w:rPr>
          <w:rFonts w:hint="eastAsia" w:ascii="仿宋_GB2312" w:hAnsi="Times New Roman" w:eastAsia="仿宋_GB2312" w:cs="Times New Roman"/>
          <w:sz w:val="32"/>
          <w:szCs w:val="32"/>
          <w:lang w:eastAsia="zh-CN"/>
        </w:rPr>
        <w:t>、工会经费</w:t>
      </w:r>
      <w:r>
        <w:rPr>
          <w:rFonts w:hint="eastAsia" w:ascii="仿宋_GB2312" w:hAnsi="Times New Roman" w:eastAsia="仿宋_GB2312" w:cs="Times New Roman"/>
          <w:sz w:val="32"/>
          <w:szCs w:val="32"/>
        </w:rPr>
        <w:t>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90.44</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87.5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87.5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2.94</w:t>
      </w:r>
      <w:r>
        <w:rPr>
          <w:rFonts w:hint="eastAsia" w:ascii="仿宋_GB2312" w:hAnsi="Times New Roman" w:eastAsia="仿宋_GB2312" w:cs="Times New Roman"/>
          <w:sz w:val="32"/>
          <w:szCs w:val="32"/>
        </w:rPr>
        <w:t>万元，</w:t>
      </w:r>
      <w:bookmarkStart w:id="1" w:name="_Hlk507422617"/>
      <w:r>
        <w:rPr>
          <w:rFonts w:hint="eastAsia" w:ascii="仿宋_GB2312" w:hAnsi="Times New Roman" w:eastAsia="仿宋_GB2312" w:cs="Times New Roman"/>
          <w:sz w:val="32"/>
          <w:szCs w:val="32"/>
          <w:highlight w:val="none"/>
        </w:rPr>
        <w:t>与20</w:t>
      </w:r>
      <w:r>
        <w:rPr>
          <w:rFonts w:ascii="仿宋_GB2312" w:hAnsi="Times New Roman" w:eastAsia="仿宋_GB2312" w:cs="Times New Roman"/>
          <w:sz w:val="32"/>
          <w:szCs w:val="32"/>
          <w:highlight w:val="none"/>
        </w:rPr>
        <w:t>19</w:t>
      </w:r>
      <w:r>
        <w:rPr>
          <w:rFonts w:hint="eastAsia" w:ascii="仿宋_GB2312" w:hAnsi="Times New Roman" w:eastAsia="仿宋_GB2312" w:cs="Times New Roman"/>
          <w:sz w:val="32"/>
          <w:szCs w:val="32"/>
          <w:highlight w:val="none"/>
        </w:rPr>
        <w:t>年持平，无增减变化。</w:t>
      </w:r>
      <w:bookmarkEnd w:id="1"/>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2"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霸州市城市管理综合行政执法局按照“三定方案”规定，行使市容环境卫生、城乡规划、城市绿化、工商行政、公安交通、市政公用设施、户外广告、张贴张挂宣传品等管理方面法律、法规、规章规定的全部或部分行政处罚权，并负责对乡镇（区、办）城市管理综合行政执法局工作的指导、检查、督导和协调工作。2020年，按照市委、市政府总体安排部署，结合我局工作职能，以综合整治市容秩序为抓手，不断优化人居环境、以规范户外广告设置为抓手，提升广告设置标准、以拆除违法建筑为抓手，维护规划建设秩序、以大气污染防治为抓手，持续改善空气质量、以数字化城管改造升级为抓手，积极探索智慧化城市建设、以锤炼执法队伍为抓手，不断理顺管理机制，持续推进精细化管理水平，全面提升城市品位。</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全面提升城市环境秩序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日常监管和集中整治相结合，完成清理占道经营、店外售货，清除乱贴乱画，规范便民市场计划工作，对影响市容市貌的行为进行查处；完成建设一批停车场，新增停车位5000个，规范人行道车辆违停；加强户外广告设置审批，完成违规和存在安全隐患的户外广告拆除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绩效指标：市容环境集中整治活动10次以上，整治活动治理效果达标率≥90%，违规和存在安全隐患的户外广告拆除计划完成率100%，新增停车位5000个。</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规范规划建设行为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绩效目标：加强巡查，依法查处市区范围内违法建设、私搭乱建行为，完成违法建筑行为监管工作，严控夜间违规施工，完成建筑外立面设置监管工作。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绩效指标：巡查覆盖率100%，违法建设查处率100%。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持续改善空气质量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绩效目标：通过强力的全天候监管，严厉查处违规渣土运输行为，取缔市区范围内露天烧烤和油烟类餐饮摊点，改善空气质量。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绩效指标：监管覆盖率100%，违规渣土运输查处率100%，市区范围内露天烧烤、油烟类餐饮摊点清理执行率100%。</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提升数字城管平台运行效率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绩效目标：升级改造数字城管平台，对必要部件进行维护，通过数字城管中心正常运行，为执法服务提供技术支持和保障，有效提高城管工作效率。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绩效指标：数字城管平台覆盖率≥90%，信息沟通及信息反馈效率≥98%，降低投诉率。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加强队伍建设，对执法人员进行培训</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绩效目标：完成执法队伍的思想教育和执法能力培训计划，提升执法人员执法服务水平。</w:t>
      </w:r>
    </w:p>
    <w:p>
      <w:pPr>
        <w:ind w:firstLine="640" w:firstLineChars="200"/>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rPr>
        <w:t>绩效指标：执法人员培训计划：有，执法人员持证率：上升，人员培训覆盖率100%。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建立健全绩效目标管理制度。按照上级安排和部署，结合我局工作职能和实际，建立健全绩效目标管理制度，成立绩效目标管理工作领导小组，由局主要领导担任组长、主管副局长担任副组长、相关股室负责人为成员。局绩效目标管理工作领导小组下设办公室，负责组织、协调相关股室开展全局绩效目标的评估、督导、推进工作。</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强化绩效运行监控。对部门绩效目标运行情况进行监控，及时排查风险隐患，定期总结项目进展情况，组织专门人员对各项目实施、进展、质控、风控等情况进行实地核查。</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规范财务资产管理。完善财务管理制度，建立健全资产核查、清查机制。详细编实预算，加快履行政府采购手续，按时启动项目，及时跟踪进展，准时支付资金。加强对固定资产的登记、使用和报废处置管理，对资产定时进行核查、清查，保障资产安全，严防资产损失、流失。</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强化监管力度。安排局监察室、办公室、财务室、法规股联合开展监察工作，对项目绩效运行情况、重大支出决策落实情况、资产处置、执法罚没情况进行监察、审查，确保财务收支规范、项目资金使用规范、执法罚没上缴及时规范。</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加强宣传培训。对绩效目标涉项人员进行必要业务培训，提升综合业务素质。加大宣传力度，强化预算绩效管理意识，促进预算绩效管理工作水平持续提升。</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2"/>
    <w:p>
      <w:pPr>
        <w:ind w:firstLine="560" w:firstLineChars="200"/>
        <w:jc w:val="left"/>
        <w:outlineLvl w:val="1"/>
        <w:rPr>
          <w:rFonts w:hAnsi="宋体"/>
          <w:b/>
          <w:sz w:val="28"/>
        </w:rPr>
      </w:pPr>
      <w:r>
        <w:rPr>
          <w:rFonts w:hint="eastAsia" w:ascii="方正仿宋_GBK" w:eastAsia="方正仿宋_GBK"/>
          <w:b/>
          <w:sz w:val="28"/>
        </w:rPr>
        <w:t>1、拆除违章建筑及广告牌匾工作经费绩效目标表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3" w:name="_Toc30521345"/>
      <w:r>
        <w:rPr>
          <w:rFonts w:hint="eastAsia" w:ascii="方正仿宋_GBK" w:eastAsia="方正仿宋_GBK"/>
          <w:b/>
          <w:sz w:val="28"/>
        </w:rPr>
        <w:instrText xml:space="preserve">1、常委会经费绩效目标表</w:instrText>
      </w:r>
      <w:bookmarkEnd w:id="3"/>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1、拆除违建4千平米，有效打击各类违法建设行为</w:t>
            </w:r>
          </w:p>
          <w:p>
            <w:pPr>
              <w:spacing w:line="300" w:lineRule="exact"/>
              <w:jc w:val="left"/>
              <w:rPr>
                <w:rFonts w:ascii="方正书宋_GBK" w:eastAsia="方正书宋_GBK"/>
              </w:rPr>
            </w:pPr>
            <w:r>
              <w:rPr>
                <w:rFonts w:hint="eastAsia" w:ascii="方正书宋_GBK" w:eastAsia="方正书宋_GBK"/>
              </w:rPr>
              <w:t>2、拆除违规牌匾750处，进一步规范我市广告牌匾</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违建拆除数量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拆除违章建筑面积数量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≥4000㎡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违规牌匾拆除数量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拆除违规牌匾数量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≥750处</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拆除质量工作合格率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拆除违建、牌匾的工作质量合格率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工作完成时间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拆除工作完成时间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≤9月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违规牌匾拆除覆盖率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预计拆除数量与总体违规牌匾的比</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≥80%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违建拆除覆盖率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预计拆除违建面积与全市违建面积的比</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群众对拆违工作的整体满意度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≥96%</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bl>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、冯庄土地租赁经费绩效目标表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1、通过租用冯庄村土地36亩，租用贾庄土地2.16亩，建立集贸市场，市场容纳800个摊位，解决人民交易需求及摊点占道经营，影响交通的问题。</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租用土地数量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集贸市场租用土地数量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≥38.16亩</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土地硬化率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硬化面积占比</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费用支付时间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在合同规定时间内支付各项费用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≤7月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容纳摊位数量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市场可容纳摊位数量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≥800个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群众满意度调查</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对进入集贸市场调查满意人员数占总调查人数的比率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bl>
    <w:tbl>
      <w:tblPr>
        <w:tblStyle w:val="7"/>
        <w:tblpPr w:leftFromText="180" w:rightFromText="180" w:vertAnchor="text" w:horzAnchor="page" w:tblpX="2093" w:tblpY="982"/>
        <w:tblOverlap w:val="never"/>
        <w:tblW w:w="128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1、通过聘用执勤人员，辅助完成案件处理，提高执法能力</w:t>
            </w:r>
          </w:p>
        </w:tc>
      </w:tr>
    </w:tbl>
    <w:p>
      <w:pPr>
        <w:ind w:firstLine="560" w:firstLineChars="200"/>
        <w:jc w:val="left"/>
        <w:outlineLvl w:val="1"/>
        <w:rPr>
          <w:rFonts w:hAnsi="宋体"/>
          <w:b/>
          <w:sz w:val="28"/>
        </w:rPr>
      </w:pPr>
      <w:r>
        <w:rPr>
          <w:rFonts w:hint="eastAsia" w:ascii="方正仿宋_GBK" w:eastAsia="方正仿宋_GBK"/>
          <w:b/>
          <w:sz w:val="28"/>
          <w:lang w:val="en-US" w:eastAsia="zh-CN"/>
        </w:rPr>
        <w:t>3、</w:t>
      </w:r>
      <w:r>
        <w:rPr>
          <w:rFonts w:hint="eastAsia" w:ascii="方正仿宋_GBK" w:eastAsia="方正仿宋_GBK"/>
          <w:b/>
          <w:sz w:val="28"/>
        </w:rPr>
        <w:t>劳务派遣人员执法巡查经费绩效目标表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0171203"/>
      <w:r>
        <w:rPr>
          <w:rFonts w:hint="eastAsia" w:ascii="方正仿宋_GBK" w:eastAsia="方正仿宋_GBK"/>
          <w:b/>
          <w:sz w:val="28"/>
        </w:rPr>
        <w:instrText xml:space="preserve">3、劳务派遣人员执法巡查经费绩效目标表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pPr w:leftFromText="180" w:rightFromText="180" w:vertAnchor="text" w:horzAnchor="page" w:tblpX="2093" w:tblpY="616"/>
        <w:tblOverlap w:val="never"/>
        <w:tblW w:w="128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执勤人数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外聘执勤人数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≥40人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出勤率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正常出勤人数与全面应出勤人数的比</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费用支付时间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在规定时间内支付各项费用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≤10月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书宋_GBK" w:eastAsia="方正书宋_GBK"/>
                <w:szCs w:val="24"/>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日常费用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保障执法工作高效实施</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≤10万元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辅助完成案件数量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全年辅助完成案件数量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≥500件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群众满意数量占被调查人数的比例。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bl>
    <w:p>
      <w:pPr>
        <w:numPr>
          <w:ilvl w:val="0"/>
          <w:numId w:val="0"/>
        </w:numPr>
        <w:rPr>
          <w:rFonts w:hint="default" w:ascii="仿宋_GB2312" w:hAnsi="黑体" w:eastAsia="仿宋_GB2312" w:cs="Times New Roman"/>
          <w:color w:val="000000" w:themeColor="text1"/>
          <w:sz w:val="32"/>
          <w:szCs w:val="32"/>
          <w:lang w:val="en-US" w:eastAsia="zh-CN"/>
        </w:rPr>
      </w:pPr>
      <w:r>
        <w:rPr>
          <w:rFonts w:hint="eastAsia" w:ascii="仿宋_GB2312" w:hAnsi="黑体" w:eastAsia="仿宋_GB2312" w:cs="Times New Roman"/>
          <w:color w:val="000000" w:themeColor="text1"/>
          <w:sz w:val="32"/>
          <w:szCs w:val="32"/>
          <w:lang w:val="en-US" w:eastAsia="zh-CN"/>
        </w:rPr>
        <w:t xml:space="preserve">   </w:t>
      </w:r>
    </w:p>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p>
      <w:pPr>
        <w:numPr>
          <w:ilvl w:val="0"/>
          <w:numId w:val="0"/>
        </w:numPr>
        <w:rPr>
          <w:rFonts w:hint="default" w:ascii="仿宋_GB2312" w:hAnsi="黑体" w:eastAsia="仿宋_GB2312" w:cs="Times New Roman"/>
          <w:color w:val="000000" w:themeColor="text1"/>
          <w:sz w:val="32"/>
          <w:szCs w:val="32"/>
          <w:lang w:val="en-US" w:eastAsia="zh-CN"/>
        </w:rPr>
      </w:pPr>
    </w:p>
    <w:p>
      <w:pPr>
        <w:ind w:firstLine="640" w:firstLineChars="200"/>
        <w:rPr>
          <w:rFonts w:ascii="仿宋_GB2312" w:hAnsi="黑体" w:eastAsia="仿宋_GB2312" w:cs="Times New Roman"/>
          <w:color w:val="000000" w:themeColor="text1"/>
          <w:sz w:val="32"/>
          <w:szCs w:val="32"/>
        </w:rPr>
      </w:pPr>
    </w:p>
    <w:p>
      <w:pPr>
        <w:ind w:firstLine="640" w:firstLineChars="200"/>
        <w:rPr>
          <w:rFonts w:hint="eastAsia" w:ascii="黑体" w:hAnsi="黑体" w:eastAsia="黑体" w:cs="Times New Roman"/>
          <w:sz w:val="32"/>
          <w:szCs w:val="32"/>
        </w:rPr>
      </w:pPr>
    </w:p>
    <w:p>
      <w:pPr>
        <w:numPr>
          <w:ilvl w:val="0"/>
          <w:numId w:val="1"/>
        </w:numPr>
        <w:ind w:firstLine="560" w:firstLineChars="200"/>
        <w:jc w:val="left"/>
        <w:outlineLvl w:val="1"/>
        <w:rPr>
          <w:rFonts w:hint="eastAsia" w:ascii="方正仿宋_GBK" w:eastAsia="方正仿宋_GBK"/>
          <w:b/>
          <w:sz w:val="28"/>
        </w:rPr>
      </w:pPr>
      <w:r>
        <w:rPr>
          <w:rFonts w:hint="eastAsia" w:ascii="方正仿宋_GBK" w:eastAsia="方正仿宋_GBK"/>
          <w:b/>
          <w:sz w:val="28"/>
        </w:rPr>
        <w:t>兴华北路平安保险公司及周边建筑物外墙粉刷经费绩效目标表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1、对兴华北路平安保险公司楼体及周边建筑物进行建筑外立面改造，墙面层面拆除950平米，墙面抗碱粉底涂料950平米，外墙面砖378平米，干挂大理石石材墙面135平米，提升市容市貌。</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墙面面层拆除</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墙面面层拆除面积数量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≥950平方米</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《建筑外墙改造工程概算书》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抗碱粉底涂料</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墙面抗碱粉底涂料面积</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≥950平方米</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《建筑外墙改造工程概算书》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外墙面砖</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外墙面砖面积</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≥378平方米</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《建筑外墙改造工程概算书》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大理石石材墙面</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干挂大理石石材墙面面积</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≥135平方米</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《建筑外墙改造工程概算书》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工程质量验收合格率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改造工程质量验收的合格率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ascii="方正书宋_GBK" w:eastAsia="方正书宋_GBK"/>
              </w:rPr>
              <w:t>100%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工程款支付及时率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在规定时间内支付工程款</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改造覆盖率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改造试点工程与计划改造工程的比率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群众满意数量占总数的比例。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≥96%</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bl>
    <w:p>
      <w:pPr>
        <w:numPr>
          <w:ilvl w:val="0"/>
          <w:numId w:val="1"/>
        </w:numPr>
        <w:ind w:left="0" w:leftChars="0" w:firstLine="560" w:firstLineChars="200"/>
        <w:jc w:val="left"/>
        <w:outlineLvl w:val="1"/>
        <w:rPr>
          <w:rFonts w:hint="eastAsia" w:ascii="方正仿宋_GBK" w:eastAsia="方正仿宋_GBK"/>
          <w:b/>
          <w:sz w:val="28"/>
        </w:rPr>
      </w:pPr>
      <w:r>
        <w:rPr>
          <w:rFonts w:hint="eastAsia" w:ascii="方正仿宋_GBK" w:eastAsia="方正仿宋_GBK"/>
          <w:b/>
          <w:sz w:val="28"/>
        </w:rPr>
        <w:t>执法停车保管工作经费绩效目标表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1、预委托第三方计保管查扣车辆、物品1500件，暂扣物品完好率达到96%，做好执法工作保障，改善市容、街道秩序。</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涉及案件数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涉及查扣车辆、物品的案件数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≥1500件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暂扣物品完好率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车辆、物品完好案件数占总涉案件数的比率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≥96%</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费用支付时间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在合同规定时间内支付各项费用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≤10月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保障案件处置率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正常处置案件数量与全面案件数量的比</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暂扣相对人对提供保管情况的满意程度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≥90%</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 xml:space="preserve">计划标准 </w:t>
            </w:r>
          </w:p>
        </w:tc>
      </w:tr>
    </w:tbl>
    <w:p>
      <w:pPr>
        <w:numPr>
          <w:ilvl w:val="0"/>
          <w:numId w:val="0"/>
        </w:numPr>
        <w:ind w:leftChars="200" w:firstLine="210" w:firstLineChars="100"/>
        <w:jc w:val="left"/>
        <w:outlineLvl w:val="1"/>
        <w:rPr>
          <w:rFonts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171205"/>
      <w:r>
        <w:rPr>
          <w:rFonts w:hint="eastAsia" w:ascii="方正仿宋_GBK" w:eastAsia="方正仿宋_GBK"/>
          <w:b/>
          <w:sz w:val="28"/>
        </w:rPr>
        <w:instrText xml:space="preserve">5、执法停车保管工作经费绩效目标表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p>
      <w:pPr>
        <w:numPr>
          <w:ilvl w:val="0"/>
          <w:numId w:val="0"/>
        </w:numPr>
        <w:ind w:firstLine="630" w:firstLineChars="300"/>
        <w:jc w:val="left"/>
        <w:outlineLvl w:val="1"/>
        <w:rPr>
          <w:rFonts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0171204"/>
      <w:r>
        <w:rPr>
          <w:rFonts w:hint="eastAsia" w:ascii="方正仿宋_GBK" w:eastAsia="方正仿宋_GBK"/>
          <w:b/>
          <w:sz w:val="28"/>
        </w:rPr>
        <w:instrText xml:space="preserve">4、兴华北路平安保险公司及周边建筑物外墙粉刷经费绩效目标表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FF0000"/>
          <w:sz w:val="32"/>
          <w:szCs w:val="32"/>
        </w:rPr>
      </w:pPr>
      <w:bookmarkStart w:id="7" w:name="_Toc471398468"/>
      <w:r>
        <w:rPr>
          <w:rFonts w:hint="eastAsia" w:ascii="仿宋_GB2312" w:hAnsi="黑体" w:eastAsia="仿宋_GB2312" w:cs="Times New Roman"/>
          <w:sz w:val="32"/>
          <w:szCs w:val="32"/>
        </w:rPr>
        <w:t>2020年，我部门安排政府采购预算</w:t>
      </w:r>
      <w:r>
        <w:rPr>
          <w:rFonts w:hint="eastAsia" w:ascii="仿宋_GB2312" w:hAnsi="黑体" w:eastAsia="仿宋_GB2312" w:cs="Times New Roman"/>
          <w:sz w:val="32"/>
          <w:szCs w:val="32"/>
          <w:lang w:val="en-US" w:eastAsia="zh-CN"/>
        </w:rPr>
        <w:t>292</w:t>
      </w:r>
      <w:r>
        <w:rPr>
          <w:rFonts w:hint="eastAsia" w:ascii="仿宋_GB2312" w:hAnsi="黑体" w:eastAsia="仿宋_GB2312" w:cs="Times New Roman"/>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7"/>
    </w:p>
    <w:tbl>
      <w:tblPr>
        <w:tblStyle w:val="7"/>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90"/>
        <w:gridCol w:w="1068"/>
        <w:gridCol w:w="878"/>
        <w:gridCol w:w="1399"/>
        <w:gridCol w:w="878"/>
        <w:gridCol w:w="878"/>
        <w:gridCol w:w="904"/>
        <w:gridCol w:w="898"/>
        <w:gridCol w:w="898"/>
        <w:gridCol w:w="898"/>
        <w:gridCol w:w="819"/>
        <w:gridCol w:w="881"/>
        <w:gridCol w:w="884"/>
        <w:gridCol w:w="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6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sz w:val="24"/>
                <w:szCs w:val="24"/>
              </w:rPr>
            </w:pPr>
            <w:r>
              <w:rPr>
                <w:rFonts w:hint="eastAsia" w:ascii="方正小标宋_GBK" w:hAnsi="Times New Roman" w:eastAsia="方正小标宋_GBK" w:cs="Times New Roman"/>
                <w:sz w:val="18"/>
                <w:szCs w:val="18"/>
                <w:highlight w:val="none"/>
                <w:lang w:val="en-US" w:eastAsia="zh-CN"/>
              </w:rPr>
              <w:t>814霸州市城市管理综合行政执法局</w:t>
            </w:r>
          </w:p>
        </w:tc>
        <w:tc>
          <w:tcPr>
            <w:tcW w:w="2036"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pct"/>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政府采购项目来源</w:t>
            </w:r>
          </w:p>
        </w:tc>
        <w:tc>
          <w:tcPr>
            <w:tcW w:w="310"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采购物品名称</w:t>
            </w:r>
          </w:p>
        </w:tc>
        <w:tc>
          <w:tcPr>
            <w:tcW w:w="494"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政府采购目录序号</w:t>
            </w:r>
          </w:p>
        </w:tc>
        <w:tc>
          <w:tcPr>
            <w:tcW w:w="310"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  单位</w:t>
            </w:r>
          </w:p>
        </w:tc>
        <w:tc>
          <w:tcPr>
            <w:tcW w:w="310"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w:t>
            </w:r>
          </w:p>
        </w:tc>
        <w:tc>
          <w:tcPr>
            <w:tcW w:w="319"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单价</w:t>
            </w:r>
          </w:p>
        </w:tc>
        <w:tc>
          <w:tcPr>
            <w:tcW w:w="2036" w:type="pct"/>
            <w:gridSpan w:val="7"/>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4"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项目名称</w:t>
            </w:r>
          </w:p>
        </w:tc>
        <w:tc>
          <w:tcPr>
            <w:tcW w:w="377"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预算资金</w:t>
            </w:r>
          </w:p>
        </w:tc>
        <w:tc>
          <w:tcPr>
            <w:tcW w:w="310"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94"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0"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0"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9"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7"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总计</w:t>
            </w:r>
          </w:p>
        </w:tc>
        <w:tc>
          <w:tcPr>
            <w:tcW w:w="1546" w:type="pct"/>
            <w:gridSpan w:val="5"/>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当年部门预算安排资金</w:t>
            </w:r>
          </w:p>
        </w:tc>
        <w:tc>
          <w:tcPr>
            <w:tcW w:w="173"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4"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77"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0"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94"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0"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0"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9"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7"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7"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合计</w:t>
            </w:r>
          </w:p>
        </w:tc>
        <w:tc>
          <w:tcPr>
            <w:tcW w:w="317"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一般公共预算拨款</w:t>
            </w:r>
          </w:p>
        </w:tc>
        <w:tc>
          <w:tcPr>
            <w:tcW w:w="289"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基金预算拨款</w:t>
            </w:r>
          </w:p>
        </w:tc>
        <w:tc>
          <w:tcPr>
            <w:tcW w:w="311"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财政专户核拨</w:t>
            </w:r>
          </w:p>
        </w:tc>
        <w:tc>
          <w:tcPr>
            <w:tcW w:w="312"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其他来源收入</w:t>
            </w:r>
          </w:p>
        </w:tc>
        <w:tc>
          <w:tcPr>
            <w:tcW w:w="173"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4"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　计</w:t>
            </w:r>
          </w:p>
        </w:tc>
        <w:tc>
          <w:tcPr>
            <w:tcW w:w="37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0" w:type="pct"/>
            <w:shd w:val="clear" w:color="auto" w:fill="auto"/>
            <w:vAlign w:val="center"/>
          </w:tcPr>
          <w:p>
            <w:pPr>
              <w:spacing w:line="300" w:lineRule="exact"/>
              <w:jc w:val="left"/>
              <w:rPr>
                <w:rFonts w:ascii="方正书宋_GBK" w:hAnsi="Times New Roman" w:eastAsia="方正书宋_GBK" w:cs="Times New Roman"/>
                <w:b/>
                <w:szCs w:val="24"/>
              </w:rPr>
            </w:pPr>
          </w:p>
        </w:tc>
        <w:tc>
          <w:tcPr>
            <w:tcW w:w="494" w:type="pct"/>
            <w:shd w:val="clear" w:color="auto" w:fill="auto"/>
            <w:vAlign w:val="center"/>
          </w:tcPr>
          <w:p>
            <w:pPr>
              <w:spacing w:line="300" w:lineRule="exact"/>
              <w:jc w:val="left"/>
              <w:rPr>
                <w:rFonts w:ascii="方正书宋_GBK" w:hAnsi="Times New Roman" w:eastAsia="方正书宋_GBK" w:cs="Times New Roman"/>
                <w:b/>
                <w:szCs w:val="24"/>
              </w:rPr>
            </w:pPr>
          </w:p>
        </w:tc>
        <w:tc>
          <w:tcPr>
            <w:tcW w:w="310" w:type="pct"/>
            <w:shd w:val="clear" w:color="auto" w:fill="auto"/>
            <w:vAlign w:val="center"/>
          </w:tcPr>
          <w:p>
            <w:pPr>
              <w:spacing w:line="300" w:lineRule="exact"/>
              <w:jc w:val="left"/>
              <w:rPr>
                <w:rFonts w:ascii="方正书宋_GBK" w:hAnsi="Times New Roman" w:eastAsia="方正书宋_GBK" w:cs="Times New Roman"/>
                <w:b/>
                <w:szCs w:val="24"/>
              </w:rPr>
            </w:pPr>
          </w:p>
        </w:tc>
        <w:tc>
          <w:tcPr>
            <w:tcW w:w="310"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9"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292</w:t>
            </w:r>
          </w:p>
        </w:tc>
        <w:tc>
          <w:tcPr>
            <w:tcW w:w="31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292</w:t>
            </w:r>
          </w:p>
        </w:tc>
        <w:tc>
          <w:tcPr>
            <w:tcW w:w="31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292</w:t>
            </w:r>
          </w:p>
        </w:tc>
        <w:tc>
          <w:tcPr>
            <w:tcW w:w="289"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1"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2" w:type="pct"/>
            <w:shd w:val="clear" w:color="auto" w:fill="auto"/>
            <w:vAlign w:val="center"/>
          </w:tcPr>
          <w:p>
            <w:pPr>
              <w:spacing w:line="300" w:lineRule="exact"/>
              <w:jc w:val="right"/>
              <w:rPr>
                <w:rFonts w:ascii="方正书宋_GBK" w:hAnsi="Times New Roman" w:eastAsia="方正书宋_GBK" w:cs="Times New Roman"/>
                <w:b/>
                <w:szCs w:val="24"/>
              </w:rPr>
            </w:pPr>
          </w:p>
        </w:tc>
        <w:tc>
          <w:tcPr>
            <w:tcW w:w="173"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4" w:type="pct"/>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拆除违章建筑及广告牌匾工作经费</w:t>
            </w:r>
          </w:p>
        </w:tc>
        <w:tc>
          <w:tcPr>
            <w:tcW w:w="37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196</w:t>
            </w:r>
          </w:p>
        </w:tc>
        <w:tc>
          <w:tcPr>
            <w:tcW w:w="310" w:type="pct"/>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城市市容管理服务</w:t>
            </w:r>
          </w:p>
        </w:tc>
        <w:tc>
          <w:tcPr>
            <w:tcW w:w="494" w:type="pct"/>
            <w:shd w:val="clear" w:color="auto" w:fill="auto"/>
            <w:vAlign w:val="center"/>
          </w:tcPr>
          <w:p>
            <w:pPr>
              <w:spacing w:line="300" w:lineRule="exact"/>
              <w:jc w:val="lef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C1304</w:t>
            </w:r>
          </w:p>
        </w:tc>
        <w:tc>
          <w:tcPr>
            <w:tcW w:w="310" w:type="pct"/>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件</w:t>
            </w:r>
          </w:p>
        </w:tc>
        <w:tc>
          <w:tcPr>
            <w:tcW w:w="310"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4900</w:t>
            </w:r>
          </w:p>
        </w:tc>
        <w:tc>
          <w:tcPr>
            <w:tcW w:w="319"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0.04</w:t>
            </w:r>
          </w:p>
        </w:tc>
        <w:tc>
          <w:tcPr>
            <w:tcW w:w="31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196</w:t>
            </w:r>
          </w:p>
        </w:tc>
        <w:tc>
          <w:tcPr>
            <w:tcW w:w="31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196</w:t>
            </w:r>
          </w:p>
        </w:tc>
        <w:tc>
          <w:tcPr>
            <w:tcW w:w="31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196</w:t>
            </w:r>
          </w:p>
        </w:tc>
        <w:tc>
          <w:tcPr>
            <w:tcW w:w="289"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1"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2" w:type="pct"/>
            <w:shd w:val="clear" w:color="auto" w:fill="auto"/>
            <w:vAlign w:val="center"/>
          </w:tcPr>
          <w:p>
            <w:pPr>
              <w:spacing w:line="300" w:lineRule="exact"/>
              <w:jc w:val="right"/>
              <w:rPr>
                <w:rFonts w:ascii="方正书宋_GBK" w:hAnsi="Times New Roman" w:eastAsia="方正书宋_GBK" w:cs="Times New Roman"/>
                <w:b/>
                <w:szCs w:val="24"/>
              </w:rPr>
            </w:pPr>
          </w:p>
        </w:tc>
        <w:tc>
          <w:tcPr>
            <w:tcW w:w="173"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4" w:type="pct"/>
            <w:shd w:val="clear" w:color="auto" w:fill="auto"/>
            <w:vAlign w:val="center"/>
          </w:tcPr>
          <w:p>
            <w:pPr>
              <w:spacing w:line="300" w:lineRule="exact"/>
              <w:jc w:val="center"/>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兴华北路平安保险公司及周边建筑物外墙粉刷经费</w:t>
            </w:r>
          </w:p>
        </w:tc>
        <w:tc>
          <w:tcPr>
            <w:tcW w:w="37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96</w:t>
            </w:r>
          </w:p>
        </w:tc>
        <w:tc>
          <w:tcPr>
            <w:tcW w:w="310" w:type="pct"/>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装修工程</w:t>
            </w:r>
          </w:p>
        </w:tc>
        <w:tc>
          <w:tcPr>
            <w:tcW w:w="494" w:type="pct"/>
            <w:shd w:val="clear" w:color="auto" w:fill="auto"/>
            <w:vAlign w:val="center"/>
          </w:tcPr>
          <w:p>
            <w:pPr>
              <w:spacing w:line="300" w:lineRule="exact"/>
              <w:jc w:val="lef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B07</w:t>
            </w:r>
          </w:p>
        </w:tc>
        <w:tc>
          <w:tcPr>
            <w:tcW w:w="310" w:type="pct"/>
            <w:shd w:val="clear" w:color="auto" w:fill="auto"/>
            <w:vAlign w:val="center"/>
          </w:tcPr>
          <w:p>
            <w:pPr>
              <w:spacing w:line="300" w:lineRule="exact"/>
              <w:jc w:val="left"/>
              <w:rPr>
                <w:rFonts w:hint="eastAsia" w:ascii="方正书宋_GBK" w:hAnsi="Times New Roman" w:eastAsia="方正书宋_GBK" w:cs="Times New Roman"/>
                <w:b/>
                <w:szCs w:val="24"/>
                <w:lang w:eastAsia="zh-CN"/>
              </w:rPr>
            </w:pPr>
            <w:r>
              <w:rPr>
                <w:rFonts w:hint="eastAsia" w:ascii="方正书宋_GBK" w:hAnsi="Times New Roman" w:eastAsia="方正书宋_GBK" w:cs="Times New Roman"/>
                <w:b/>
                <w:szCs w:val="24"/>
                <w:lang w:eastAsia="zh-CN"/>
              </w:rPr>
              <w:t>平方米</w:t>
            </w:r>
          </w:p>
        </w:tc>
        <w:tc>
          <w:tcPr>
            <w:tcW w:w="310"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960</w:t>
            </w:r>
          </w:p>
        </w:tc>
        <w:tc>
          <w:tcPr>
            <w:tcW w:w="319"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0.10</w:t>
            </w:r>
          </w:p>
        </w:tc>
        <w:tc>
          <w:tcPr>
            <w:tcW w:w="31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96</w:t>
            </w:r>
          </w:p>
        </w:tc>
        <w:tc>
          <w:tcPr>
            <w:tcW w:w="31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96</w:t>
            </w:r>
          </w:p>
        </w:tc>
        <w:tc>
          <w:tcPr>
            <w:tcW w:w="317" w:type="pct"/>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96</w:t>
            </w:r>
          </w:p>
        </w:tc>
        <w:tc>
          <w:tcPr>
            <w:tcW w:w="289"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1"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2" w:type="pct"/>
            <w:shd w:val="clear" w:color="auto" w:fill="auto"/>
            <w:vAlign w:val="center"/>
          </w:tcPr>
          <w:p>
            <w:pPr>
              <w:spacing w:line="300" w:lineRule="exact"/>
              <w:jc w:val="right"/>
              <w:rPr>
                <w:rFonts w:ascii="方正书宋_GBK" w:hAnsi="Times New Roman" w:eastAsia="方正书宋_GBK" w:cs="Times New Roman"/>
                <w:b/>
                <w:szCs w:val="24"/>
              </w:rPr>
            </w:pPr>
          </w:p>
        </w:tc>
        <w:tc>
          <w:tcPr>
            <w:tcW w:w="173" w:type="pct"/>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城市管理综合行政执法局</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687.12</w:t>
      </w:r>
      <w:r>
        <w:rPr>
          <w:rFonts w:hint="eastAsia" w:ascii="仿宋_GB2312" w:hAnsi="黑体" w:eastAsia="仿宋_GB2312" w:cs="Times New Roman"/>
          <w:sz w:val="32"/>
          <w:szCs w:val="32"/>
        </w:rPr>
        <w:t>万元（详见下表）。</w:t>
      </w:r>
      <w:r>
        <w:rPr>
          <w:rFonts w:hint="eastAsia" w:ascii="仿宋_GB2312" w:hAnsi="黑体" w:eastAsia="仿宋_GB2312" w:cs="Times New Roman"/>
          <w:sz w:val="32"/>
          <w:szCs w:val="32"/>
          <w:lang w:eastAsia="zh-CN"/>
        </w:rPr>
        <w:t>2020年，我部门无新增固定资产计划。</w:t>
      </w:r>
    </w:p>
    <w:tbl>
      <w:tblPr>
        <w:tblStyle w:val="7"/>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bookmarkStart w:id="8" w:name="_GoBack"/>
            <w:bookmarkEnd w:id="8"/>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highlight w:val="none"/>
                <w:lang w:eastAsia="zh-CN"/>
              </w:rPr>
              <w:t>城市管理综合行政执法局</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eastAsia="宋体" w:cs="宋体"/>
                <w:kern w:val="0"/>
                <w:sz w:val="22"/>
                <w:highlight w:val="none"/>
                <w:lang w:val="en-US" w:eastAsia="zh-CN"/>
              </w:rPr>
              <w:t>814霸州市城市管理综合行政执法局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截止时间：201</w:t>
            </w:r>
            <w:r>
              <w:rPr>
                <w:rFonts w:ascii="宋体" w:hAnsi="宋体" w:eastAsia="宋体" w:cs="宋体"/>
                <w:kern w:val="0"/>
                <w:sz w:val="22"/>
              </w:rPr>
              <w:t>9</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687.12</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408.02</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279.10</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07FB"/>
    <w:multiLevelType w:val="singleLevel"/>
    <w:tmpl w:val="1B6207F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C2D402D"/>
    <w:rsid w:val="5BD725FB"/>
    <w:rsid w:val="5DB81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10</TotalTime>
  <ScaleCrop>false</ScaleCrop>
  <LinksUpToDate>false</LinksUpToDate>
  <CharactersWithSpaces>3329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2021-04-28T08:57:32Z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